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16A08C" w14:textId="2E110312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2-D Base Level Engineering </w:t>
      </w:r>
    </w:p>
    <w:p w14:paraId="0B75E976" w14:textId="58957782" w:rsidR="008F06AE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Texas Water Development Board</w:t>
      </w:r>
    </w:p>
    <w:p w14:paraId="090D26C8" w14:textId="363B307D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</w:p>
    <w:p w14:paraId="17BFFDD6" w14:textId="15EF142A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Quality Control — Mapping</w:t>
      </w:r>
    </w:p>
    <w:p w14:paraId="0FE5497B" w14:textId="6A40AC54" w:rsidR="00F11486" w:rsidRPr="0072199E" w:rsidRDefault="00F11486" w:rsidP="00E50997">
      <w:pPr>
        <w:jc w:val="center"/>
        <w:rPr>
          <w:rFonts w:ascii="Arial" w:hAnsi="Arial" w:cs="Arial"/>
          <w:sz w:val="22"/>
          <w:szCs w:val="22"/>
        </w:rPr>
      </w:pPr>
    </w:p>
    <w:p w14:paraId="46C7D067" w14:textId="3C4DCC1C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HUC 8 Reviewed:</w:t>
      </w:r>
      <w:r w:rsidRPr="0072199E">
        <w:rPr>
          <w:rFonts w:ascii="Arial" w:hAnsi="Arial" w:cs="Arial"/>
          <w:sz w:val="22"/>
          <w:szCs w:val="22"/>
        </w:rPr>
        <w:tab/>
      </w:r>
      <w:r w:rsidR="005E1898">
        <w:rPr>
          <w:rFonts w:ascii="Arial" w:hAnsi="Arial" w:cs="Arial"/>
          <w:sz w:val="22"/>
          <w:szCs w:val="22"/>
        </w:rPr>
        <w:t>Upper San Antonio</w:t>
      </w:r>
    </w:p>
    <w:p w14:paraId="4E1FF8A4" w14:textId="71455431" w:rsidR="00F11486" w:rsidRPr="0072199E" w:rsidRDefault="00F11486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Submitted </w:t>
      </w:r>
      <w:proofErr w:type="gramStart"/>
      <w:r w:rsidRPr="0072199E">
        <w:rPr>
          <w:rFonts w:ascii="Arial" w:hAnsi="Arial" w:cs="Arial"/>
          <w:sz w:val="22"/>
          <w:szCs w:val="22"/>
        </w:rPr>
        <w:t>by:</w:t>
      </w:r>
      <w:proofErr w:type="gramEnd"/>
      <w:r w:rsidRPr="0072199E">
        <w:rPr>
          <w:rFonts w:ascii="Arial" w:hAnsi="Arial" w:cs="Arial"/>
          <w:sz w:val="22"/>
          <w:szCs w:val="22"/>
        </w:rPr>
        <w:t xml:space="preserve"> </w:t>
      </w:r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</w:r>
      <w:r w:rsidR="005E1898">
        <w:rPr>
          <w:rFonts w:ascii="Arial" w:hAnsi="Arial" w:cs="Arial"/>
          <w:sz w:val="22"/>
          <w:szCs w:val="22"/>
        </w:rPr>
        <w:t>Aaron Raper</w:t>
      </w:r>
    </w:p>
    <w:p w14:paraId="75965D9C" w14:textId="130CBC86" w:rsidR="00F11486" w:rsidRPr="0072199E" w:rsidRDefault="00F11486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QC </w:t>
      </w:r>
      <w:proofErr w:type="gramStart"/>
      <w:r w:rsidRPr="0072199E">
        <w:rPr>
          <w:rFonts w:ascii="Arial" w:hAnsi="Arial" w:cs="Arial"/>
          <w:sz w:val="22"/>
          <w:szCs w:val="22"/>
        </w:rPr>
        <w:t>by:</w:t>
      </w:r>
      <w:proofErr w:type="gramEnd"/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  <w:t>Guillermo Simon</w:t>
      </w:r>
    </w:p>
    <w:p w14:paraId="72469434" w14:textId="1A9D5C1F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21E3C57D" w14:textId="77777777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674DF090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Comparison with effective mapping</w:t>
      </w:r>
    </w:p>
    <w:p w14:paraId="3412B7EE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Compare water surface elevation and mapping extents, if possible. Of note, mapping extents may prove difficult to verify because BLE models rain-on-grid and effective maps show flow concentration.</w:t>
      </w:r>
    </w:p>
    <w:p w14:paraId="4D26E35A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67ECCEE2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Mapping around HUC perimeter</w:t>
      </w:r>
    </w:p>
    <w:p w14:paraId="02C9901E" w14:textId="77777777" w:rsidR="003C5C1D" w:rsidRDefault="003C5C1D" w:rsidP="003C5C1D">
      <w:pPr>
        <w:ind w:left="720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Verify mapping near downstream boundary condition</w:t>
      </w:r>
    </w:p>
    <w:p w14:paraId="09AA847A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6DA8EAED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</w:t>
      </w:r>
      <w:r w:rsidRPr="00D83503">
        <w:rPr>
          <w:rFonts w:ascii="Arial" w:hAnsi="Arial" w:cs="Arial"/>
          <w:sz w:val="20"/>
        </w:rPr>
        <w:t>ie-in with neighboring basins</w:t>
      </w:r>
    </w:p>
    <w:p w14:paraId="0449762F" w14:textId="77777777" w:rsidR="003C5C1D" w:rsidRPr="00D83503" w:rsidRDefault="003C5C1D" w:rsidP="003C5C1D">
      <w:pPr>
        <w:pStyle w:val="ListParagrap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Verify mapping continuity around the HUC’s perimeter</w:t>
      </w:r>
    </w:p>
    <w:p w14:paraId="1147A997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0541C865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Stream connectivity</w:t>
      </w:r>
    </w:p>
    <w:p w14:paraId="47B1898E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Verify continuous mapping along conveying systems (creeks, channels, roads (?))</w:t>
      </w:r>
    </w:p>
    <w:p w14:paraId="00F6F5A4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1D3A3B05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Mapped depths</w:t>
      </w:r>
    </w:p>
    <w:p w14:paraId="5DF6E943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 xml:space="preserve">Depth </w:t>
      </w:r>
      <w:proofErr w:type="gramStart"/>
      <w:r w:rsidRPr="00B26566">
        <w:rPr>
          <w:rFonts w:ascii="Arial" w:hAnsi="Arial" w:cs="Arial"/>
          <w:sz w:val="20"/>
        </w:rPr>
        <w:t>use</w:t>
      </w:r>
      <w:proofErr w:type="gramEnd"/>
      <w:r w:rsidRPr="00B26566">
        <w:rPr>
          <w:rFonts w:ascii="Arial" w:hAnsi="Arial" w:cs="Arial"/>
          <w:sz w:val="20"/>
        </w:rPr>
        <w:t xml:space="preserve"> in mapping. Is minimum depth consistent with other HUCS?</w:t>
      </w:r>
    </w:p>
    <w:p w14:paraId="645F8864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40004CC7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Mapping consistent with frequency.</w:t>
      </w:r>
    </w:p>
    <w:p w14:paraId="668E5013" w14:textId="77777777" w:rsidR="003C5C1D" w:rsidRDefault="003C5C1D" w:rsidP="003C5C1D">
      <w:pPr>
        <w:pStyle w:val="ListParagrap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Verify that mapping extents and flood elevations increase with lower frequencies (e.g., is 500-yr mapping “larger” than 100-yr mapping?)</w:t>
      </w:r>
    </w:p>
    <w:p w14:paraId="7CA2C450" w14:textId="77777777" w:rsidR="003C5C1D" w:rsidRPr="00EA7EDE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0B5221FC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Miscellaneous comments</w:t>
      </w:r>
    </w:p>
    <w:p w14:paraId="68EE69D5" w14:textId="77777777" w:rsidR="003C5C1D" w:rsidRPr="0072199E" w:rsidRDefault="003C5C1D" w:rsidP="003C5C1D">
      <w:pPr>
        <w:jc w:val="left"/>
        <w:rPr>
          <w:rFonts w:ascii="Arial" w:hAnsi="Arial" w:cs="Arial"/>
          <w:sz w:val="22"/>
          <w:szCs w:val="22"/>
        </w:rPr>
      </w:pPr>
    </w:p>
    <w:p w14:paraId="581D1A81" w14:textId="77777777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tbl>
      <w:tblPr>
        <w:tblStyle w:val="TableGrid"/>
        <w:tblW w:w="9445" w:type="dxa"/>
        <w:tblLook w:val="04A0" w:firstRow="1" w:lastRow="0" w:firstColumn="1" w:lastColumn="0" w:noHBand="0" w:noVBand="1"/>
      </w:tblPr>
      <w:tblGrid>
        <w:gridCol w:w="2337"/>
        <w:gridCol w:w="2337"/>
        <w:gridCol w:w="4771"/>
      </w:tblGrid>
      <w:tr w:rsidR="000B6E34" w:rsidRPr="0072199E" w14:paraId="0B25D3A6" w14:textId="77777777" w:rsidTr="000B6E34">
        <w:tc>
          <w:tcPr>
            <w:tcW w:w="2337" w:type="dxa"/>
          </w:tcPr>
          <w:p w14:paraId="31B8AA76" w14:textId="4246D6A0" w:rsidR="000B6E34" w:rsidRPr="0072199E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QC Round</w:t>
            </w:r>
          </w:p>
        </w:tc>
        <w:tc>
          <w:tcPr>
            <w:tcW w:w="2337" w:type="dxa"/>
          </w:tcPr>
          <w:p w14:paraId="14704F0E" w14:textId="7FE82834" w:rsidR="000B6E34" w:rsidRPr="0072199E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Date</w:t>
            </w:r>
          </w:p>
        </w:tc>
        <w:tc>
          <w:tcPr>
            <w:tcW w:w="4771" w:type="dxa"/>
          </w:tcPr>
          <w:p w14:paraId="33958BED" w14:textId="25663EDF" w:rsidR="000B6E34" w:rsidRPr="0072199E" w:rsidRDefault="0072199E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Comment</w:t>
            </w:r>
          </w:p>
        </w:tc>
      </w:tr>
      <w:tr w:rsidR="000B6E34" w:rsidRPr="0072199E" w14:paraId="4C1FD893" w14:textId="77777777" w:rsidTr="000B6E34">
        <w:tc>
          <w:tcPr>
            <w:tcW w:w="2337" w:type="dxa"/>
          </w:tcPr>
          <w:p w14:paraId="70209899" w14:textId="67F845E5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1 sent</w:t>
            </w:r>
          </w:p>
        </w:tc>
        <w:tc>
          <w:tcPr>
            <w:tcW w:w="2337" w:type="dxa"/>
          </w:tcPr>
          <w:p w14:paraId="2D8B1F31" w14:textId="2FC47712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4D386D26" w14:textId="5DF32CA4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4DB73897" w14:textId="77777777" w:rsidTr="000B6E34">
        <w:tc>
          <w:tcPr>
            <w:tcW w:w="2337" w:type="dxa"/>
          </w:tcPr>
          <w:p w14:paraId="7CC44E86" w14:textId="6E128565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1 complete</w:t>
            </w:r>
          </w:p>
        </w:tc>
        <w:tc>
          <w:tcPr>
            <w:tcW w:w="2337" w:type="dxa"/>
          </w:tcPr>
          <w:p w14:paraId="120563B1" w14:textId="0F9C26BE" w:rsidR="000B6E34" w:rsidRPr="0072199E" w:rsidRDefault="00B10287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</w:t>
            </w:r>
            <w:r w:rsidR="000B6E34" w:rsidRPr="0072199E">
              <w:rPr>
                <w:rFonts w:ascii="Arial" w:hAnsi="Arial" w:cs="Arial"/>
                <w:sz w:val="22"/>
                <w:szCs w:val="22"/>
              </w:rPr>
              <w:t>/</w:t>
            </w:r>
            <w:r>
              <w:rPr>
                <w:rFonts w:ascii="Arial" w:hAnsi="Arial" w:cs="Arial"/>
                <w:sz w:val="22"/>
                <w:szCs w:val="22"/>
              </w:rPr>
              <w:t>1</w:t>
            </w:r>
            <w:r w:rsidR="005E1898">
              <w:rPr>
                <w:rFonts w:ascii="Arial" w:hAnsi="Arial" w:cs="Arial"/>
                <w:sz w:val="22"/>
                <w:szCs w:val="22"/>
              </w:rPr>
              <w:t>3</w:t>
            </w:r>
            <w:r w:rsidR="000B6E34" w:rsidRPr="0072199E">
              <w:rPr>
                <w:rFonts w:ascii="Arial" w:hAnsi="Arial" w:cs="Arial"/>
                <w:sz w:val="22"/>
                <w:szCs w:val="22"/>
              </w:rPr>
              <w:t>/2021</w:t>
            </w:r>
          </w:p>
        </w:tc>
        <w:tc>
          <w:tcPr>
            <w:tcW w:w="4771" w:type="dxa"/>
          </w:tcPr>
          <w:p w14:paraId="73CE3E43" w14:textId="77777777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1539B2B4" w14:textId="77777777" w:rsidTr="000B6E34">
        <w:tc>
          <w:tcPr>
            <w:tcW w:w="2337" w:type="dxa"/>
          </w:tcPr>
          <w:p w14:paraId="0902CBBB" w14:textId="2BC766A1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2 sent</w:t>
            </w:r>
          </w:p>
        </w:tc>
        <w:tc>
          <w:tcPr>
            <w:tcW w:w="2337" w:type="dxa"/>
          </w:tcPr>
          <w:p w14:paraId="4B4E745D" w14:textId="77777777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1BD2ECCD" w14:textId="77777777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55EAB7F2" w14:textId="77777777" w:rsidTr="000B6E34">
        <w:tc>
          <w:tcPr>
            <w:tcW w:w="2337" w:type="dxa"/>
          </w:tcPr>
          <w:p w14:paraId="39048E85" w14:textId="412F3F9E" w:rsidR="000B6E34" w:rsidRPr="0072199E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2 complete</w:t>
            </w:r>
          </w:p>
        </w:tc>
        <w:tc>
          <w:tcPr>
            <w:tcW w:w="2337" w:type="dxa"/>
          </w:tcPr>
          <w:p w14:paraId="7EDC662B" w14:textId="77777777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6848885D" w14:textId="77777777" w:rsidR="000B6E34" w:rsidRPr="0072199E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65D0C68" w14:textId="3AB1B85D" w:rsidR="00E50997" w:rsidRPr="0072199E" w:rsidRDefault="00E50997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10530" w:type="dxa"/>
        <w:tblInd w:w="-545" w:type="dxa"/>
        <w:tblLook w:val="04A0" w:firstRow="1" w:lastRow="0" w:firstColumn="1" w:lastColumn="0" w:noHBand="0" w:noVBand="1"/>
      </w:tblPr>
      <w:tblGrid>
        <w:gridCol w:w="1484"/>
        <w:gridCol w:w="9046"/>
      </w:tblGrid>
      <w:tr w:rsidR="006025DF" w:rsidRPr="0072199E" w14:paraId="56331FFB" w14:textId="77777777" w:rsidTr="003D1027">
        <w:tc>
          <w:tcPr>
            <w:tcW w:w="1484" w:type="dxa"/>
          </w:tcPr>
          <w:p w14:paraId="41C5D875" w14:textId="0D1A4C6D" w:rsidR="0072199E" w:rsidRPr="0072199E" w:rsidRDefault="0072199E" w:rsidP="0072199E">
            <w:pPr>
              <w:jc w:val="center"/>
              <w:rPr>
                <w:rFonts w:ascii="Arial" w:hAnsi="Arial" w:cs="Arial"/>
                <w:sz w:val="20"/>
              </w:rPr>
            </w:pPr>
            <w:r w:rsidRPr="0072199E">
              <w:rPr>
                <w:rFonts w:ascii="Arial" w:hAnsi="Arial" w:cs="Arial"/>
                <w:sz w:val="20"/>
              </w:rPr>
              <w:t>QC Item</w:t>
            </w:r>
          </w:p>
        </w:tc>
        <w:tc>
          <w:tcPr>
            <w:tcW w:w="9046" w:type="dxa"/>
          </w:tcPr>
          <w:p w14:paraId="5E0DE5BB" w14:textId="2A715D26" w:rsidR="0072199E" w:rsidRPr="0072199E" w:rsidRDefault="0072199E" w:rsidP="0072199E">
            <w:pPr>
              <w:jc w:val="center"/>
              <w:rPr>
                <w:rFonts w:ascii="Arial" w:hAnsi="Arial" w:cs="Arial"/>
                <w:sz w:val="20"/>
              </w:rPr>
            </w:pPr>
            <w:r w:rsidRPr="0072199E">
              <w:rPr>
                <w:rFonts w:ascii="Arial" w:hAnsi="Arial" w:cs="Arial"/>
                <w:sz w:val="20"/>
              </w:rPr>
              <w:t>Comments and figures</w:t>
            </w:r>
          </w:p>
        </w:tc>
      </w:tr>
      <w:tr w:rsidR="006025DF" w:rsidRPr="0072199E" w14:paraId="22FCD8A2" w14:textId="77777777" w:rsidTr="003D1027">
        <w:tc>
          <w:tcPr>
            <w:tcW w:w="1484" w:type="dxa"/>
          </w:tcPr>
          <w:p w14:paraId="025ED35A" w14:textId="436E3F14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1. </w:t>
            </w:r>
            <w:r w:rsidR="0072199E" w:rsidRPr="0072199E">
              <w:rPr>
                <w:rFonts w:ascii="Arial" w:hAnsi="Arial" w:cs="Arial"/>
                <w:sz w:val="20"/>
              </w:rPr>
              <w:t>Comparison with effective mapping</w:t>
            </w:r>
          </w:p>
        </w:tc>
        <w:tc>
          <w:tcPr>
            <w:tcW w:w="9046" w:type="dxa"/>
          </w:tcPr>
          <w:p w14:paraId="5C50DA46" w14:textId="484434BD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1.1</w:t>
            </w:r>
            <w:r w:rsidR="00AC2967">
              <w:rPr>
                <w:rFonts w:ascii="Arial" w:hAnsi="Arial" w:cs="Arial"/>
                <w:sz w:val="20"/>
              </w:rPr>
              <w:t xml:space="preserve"> </w:t>
            </w:r>
            <w:r w:rsidR="00545459">
              <w:rPr>
                <w:rFonts w:ascii="Arial" w:hAnsi="Arial" w:cs="Arial"/>
                <w:sz w:val="20"/>
              </w:rPr>
              <w:t>Upper San Antonio HUC includes numerous areas labeled as Zone AE.</w:t>
            </w:r>
            <w:r w:rsidR="007649F8">
              <w:rPr>
                <w:rFonts w:ascii="Arial" w:hAnsi="Arial" w:cs="Arial"/>
                <w:sz w:val="20"/>
              </w:rPr>
              <w:t xml:space="preserve"> BLE is comparable-to-wider than effective mapping.</w:t>
            </w:r>
            <w:r w:rsidR="00D21C4C">
              <w:rPr>
                <w:rFonts w:ascii="Arial" w:hAnsi="Arial" w:cs="Arial"/>
                <w:sz w:val="20"/>
              </w:rPr>
              <w:t xml:space="preserve"> Mapping differences highlight topography differences between BLE and effective studies.</w:t>
            </w:r>
          </w:p>
          <w:p w14:paraId="5498E410" w14:textId="08721C32" w:rsidR="00AA67FD" w:rsidRDefault="00AA67FD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1CB07099" w14:textId="21F1836D" w:rsidR="00AA67FD" w:rsidRDefault="00AA67FD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1.2 BLE adds a sizable number of flood hazard areas, likely due to modeling of rain-on-grid boundary conditions.</w:t>
            </w:r>
          </w:p>
          <w:p w14:paraId="6014D4AA" w14:textId="13326E84" w:rsidR="007649F8" w:rsidRDefault="007649F8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29BE2686" w14:textId="0A7EF0C0" w:rsidR="007649F8" w:rsidRDefault="007649F8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1.3 </w:t>
            </w:r>
            <w:r w:rsidR="00AA67FD">
              <w:rPr>
                <w:rFonts w:ascii="Arial" w:hAnsi="Arial" w:cs="Arial"/>
                <w:sz w:val="20"/>
              </w:rPr>
              <w:t xml:space="preserve">The effective mapping of dams </w:t>
            </w:r>
            <w:r w:rsidR="00AD3FA3">
              <w:rPr>
                <w:rFonts w:ascii="Arial" w:hAnsi="Arial" w:cs="Arial"/>
                <w:sz w:val="20"/>
              </w:rPr>
              <w:t xml:space="preserve">shows purposeful </w:t>
            </w:r>
            <w:r w:rsidR="00AA67FD">
              <w:rPr>
                <w:rFonts w:ascii="Arial" w:hAnsi="Arial" w:cs="Arial"/>
                <w:sz w:val="20"/>
              </w:rPr>
              <w:t>delineat</w:t>
            </w:r>
            <w:r w:rsidR="00AD3FA3">
              <w:rPr>
                <w:rFonts w:ascii="Arial" w:hAnsi="Arial" w:cs="Arial"/>
                <w:sz w:val="20"/>
              </w:rPr>
              <w:t>ion</w:t>
            </w:r>
            <w:r w:rsidR="00AA67FD">
              <w:rPr>
                <w:rFonts w:ascii="Arial" w:hAnsi="Arial" w:cs="Arial"/>
                <w:sz w:val="20"/>
              </w:rPr>
              <w:t xml:space="preserve"> </w:t>
            </w:r>
            <w:r w:rsidR="00AD3FA3">
              <w:rPr>
                <w:rFonts w:ascii="Arial" w:hAnsi="Arial" w:cs="Arial"/>
                <w:sz w:val="20"/>
              </w:rPr>
              <w:t xml:space="preserve">near </w:t>
            </w:r>
            <w:r w:rsidR="00AA67FD">
              <w:rPr>
                <w:rFonts w:ascii="Arial" w:hAnsi="Arial" w:cs="Arial"/>
                <w:sz w:val="20"/>
              </w:rPr>
              <w:t>the structure and spillway</w:t>
            </w:r>
            <w:r>
              <w:rPr>
                <w:rFonts w:ascii="Arial" w:hAnsi="Arial" w:cs="Arial"/>
                <w:sz w:val="20"/>
              </w:rPr>
              <w:t>.</w:t>
            </w:r>
            <w:r w:rsidR="00AA67FD">
              <w:rPr>
                <w:rFonts w:ascii="Arial" w:hAnsi="Arial" w:cs="Arial"/>
                <w:sz w:val="20"/>
              </w:rPr>
              <w:t xml:space="preserve"> However, BLE mapping shows some discontinuities. I recommend matching the effective mapping in these areas. See example</w:t>
            </w:r>
            <w:r w:rsidR="00785AFB">
              <w:rPr>
                <w:rFonts w:ascii="Arial" w:hAnsi="Arial" w:cs="Arial"/>
                <w:sz w:val="20"/>
              </w:rPr>
              <w:t>s</w:t>
            </w:r>
            <w:r w:rsidR="00AA67FD">
              <w:rPr>
                <w:rFonts w:ascii="Arial" w:hAnsi="Arial" w:cs="Arial"/>
                <w:sz w:val="20"/>
              </w:rPr>
              <w:t xml:space="preserve"> in </w:t>
            </w:r>
            <w:r w:rsidR="00D21C4C">
              <w:rPr>
                <w:rFonts w:ascii="Arial" w:hAnsi="Arial" w:cs="Arial"/>
                <w:sz w:val="20"/>
              </w:rPr>
              <w:t xml:space="preserve">the </w:t>
            </w:r>
            <w:r w:rsidR="00AA67FD">
              <w:rPr>
                <w:rFonts w:ascii="Arial" w:hAnsi="Arial" w:cs="Arial"/>
                <w:sz w:val="20"/>
              </w:rPr>
              <w:t>figure</w:t>
            </w:r>
            <w:r w:rsidR="00D21C4C">
              <w:rPr>
                <w:rFonts w:ascii="Arial" w:hAnsi="Arial" w:cs="Arial"/>
                <w:sz w:val="20"/>
              </w:rPr>
              <w:t>s</w:t>
            </w:r>
            <w:r w:rsidR="00AA67FD">
              <w:rPr>
                <w:rFonts w:ascii="Arial" w:hAnsi="Arial" w:cs="Arial"/>
                <w:sz w:val="20"/>
              </w:rPr>
              <w:t xml:space="preserve"> below.</w:t>
            </w:r>
          </w:p>
          <w:p w14:paraId="26D4C8D2" w14:textId="77777777" w:rsidR="00D21C4C" w:rsidRDefault="00D21C4C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000FA20D" w14:textId="187FA076" w:rsidR="00AA67FD" w:rsidRDefault="00AD3FA3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AD3FA3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733B9F6A" wp14:editId="56919DFB">
                  <wp:extent cx="3627631" cy="2240915"/>
                  <wp:effectExtent l="0" t="0" r="0" b="698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9505" cy="2328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383BB1" w14:textId="2B41A9E3" w:rsidR="00AA67FD" w:rsidRDefault="00D21C4C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D21C4C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111F4268" wp14:editId="795E6BCA">
                  <wp:extent cx="3712412" cy="2646680"/>
                  <wp:effectExtent l="0" t="0" r="2540" b="127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2664" cy="2653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E05BD0" w14:textId="3D8D164F" w:rsidR="00AB36AE" w:rsidRDefault="00AB36A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0ADEDE25" w14:textId="7647B464" w:rsidR="00AB36AE" w:rsidRPr="0072199E" w:rsidRDefault="00AB36AE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6025DF" w:rsidRPr="0072199E" w14:paraId="5D6B7627" w14:textId="77777777" w:rsidTr="003D1027">
        <w:tc>
          <w:tcPr>
            <w:tcW w:w="1484" w:type="dxa"/>
          </w:tcPr>
          <w:p w14:paraId="590F893F" w14:textId="16AB2A8E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2. </w:t>
            </w:r>
            <w:r w:rsidR="0072199E" w:rsidRPr="0072199E">
              <w:rPr>
                <w:rFonts w:ascii="Arial" w:hAnsi="Arial" w:cs="Arial"/>
                <w:sz w:val="20"/>
              </w:rPr>
              <w:t>Mapping near downstream boundary condition</w:t>
            </w:r>
          </w:p>
        </w:tc>
        <w:tc>
          <w:tcPr>
            <w:tcW w:w="9046" w:type="dxa"/>
          </w:tcPr>
          <w:p w14:paraId="0DAFC734" w14:textId="3F03237D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2.1</w:t>
            </w:r>
            <w:r w:rsidR="00FB6079">
              <w:rPr>
                <w:rFonts w:ascii="Arial" w:hAnsi="Arial" w:cs="Arial"/>
                <w:sz w:val="20"/>
              </w:rPr>
              <w:t xml:space="preserve"> </w:t>
            </w:r>
            <w:r w:rsidR="00CA5E59">
              <w:rPr>
                <w:rFonts w:ascii="Arial" w:hAnsi="Arial" w:cs="Arial"/>
                <w:sz w:val="20"/>
              </w:rPr>
              <w:t>Mapping near the downstream appears correct. However, please review item 3.1.</w:t>
            </w:r>
          </w:p>
          <w:p w14:paraId="44110EA4" w14:textId="2A3D49E4" w:rsidR="00486827" w:rsidRPr="0072199E" w:rsidRDefault="00486827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6025DF" w:rsidRPr="0072199E" w14:paraId="355FF0CD" w14:textId="77777777" w:rsidTr="003D1027">
        <w:tc>
          <w:tcPr>
            <w:tcW w:w="1484" w:type="dxa"/>
          </w:tcPr>
          <w:p w14:paraId="7EA0A86E" w14:textId="74B73F1B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3. </w:t>
            </w:r>
            <w:r w:rsidR="0072199E" w:rsidRPr="0072199E">
              <w:rPr>
                <w:rFonts w:ascii="Arial" w:hAnsi="Arial" w:cs="Arial"/>
                <w:sz w:val="20"/>
              </w:rPr>
              <w:t xml:space="preserve">Mapping of </w:t>
            </w:r>
            <w:proofErr w:type="spellStart"/>
            <w:r>
              <w:rPr>
                <w:rFonts w:ascii="Arial" w:hAnsi="Arial" w:cs="Arial"/>
                <w:sz w:val="20"/>
              </w:rPr>
              <w:t>inter</w:t>
            </w:r>
            <w:r w:rsidR="0072199E" w:rsidRPr="0072199E">
              <w:rPr>
                <w:rFonts w:ascii="Arial" w:hAnsi="Arial" w:cs="Arial"/>
                <w:sz w:val="20"/>
              </w:rPr>
              <w:t>basin</w:t>
            </w:r>
            <w:proofErr w:type="spellEnd"/>
            <w:r w:rsidR="0072199E" w:rsidRPr="0072199E">
              <w:rPr>
                <w:rFonts w:ascii="Arial" w:hAnsi="Arial" w:cs="Arial"/>
                <w:sz w:val="20"/>
              </w:rPr>
              <w:t xml:space="preserve"> flow transfer (tie-ins)</w:t>
            </w:r>
          </w:p>
        </w:tc>
        <w:tc>
          <w:tcPr>
            <w:tcW w:w="9046" w:type="dxa"/>
          </w:tcPr>
          <w:p w14:paraId="685DA00E" w14:textId="063461E7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3.1</w:t>
            </w:r>
            <w:r w:rsidR="004D6D4E">
              <w:rPr>
                <w:rFonts w:ascii="Arial" w:hAnsi="Arial" w:cs="Arial"/>
                <w:sz w:val="20"/>
              </w:rPr>
              <w:t xml:space="preserve"> </w:t>
            </w:r>
            <w:r w:rsidR="00CA5E59">
              <w:rPr>
                <w:rFonts w:ascii="Arial" w:hAnsi="Arial" w:cs="Arial"/>
                <w:sz w:val="20"/>
              </w:rPr>
              <w:t>Verify mapping for the San Antonio River near the downstream end. Upper SA HUC BLE mapping shows overflow into Lower SA.</w:t>
            </w:r>
          </w:p>
          <w:p w14:paraId="1B3ABC98" w14:textId="562A5785" w:rsidR="004B449D" w:rsidRDefault="004B449D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16C61E2" w14:textId="4FE4A253" w:rsidR="00CA5E59" w:rsidRDefault="00CA5E59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A5E59">
              <w:rPr>
                <w:rFonts w:ascii="Arial" w:hAnsi="Arial" w:cs="Arial"/>
                <w:noProof/>
                <w:sz w:val="20"/>
              </w:rPr>
              <w:lastRenderedPageBreak/>
              <w:drawing>
                <wp:inline distT="0" distB="0" distL="0" distR="0" wp14:anchorId="11341BC1" wp14:editId="5A8F117E">
                  <wp:extent cx="5486400" cy="2899117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2416" cy="2907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080D14" w14:textId="371F0908" w:rsidR="00CA5E59" w:rsidRDefault="00CA5E59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CAA4D8D" w14:textId="3119810D" w:rsidR="00CA5E59" w:rsidRDefault="00CA5E59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A5E59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A78A7D7" wp14:editId="41CBADF6">
                  <wp:extent cx="4600575" cy="2951544"/>
                  <wp:effectExtent l="0" t="0" r="0" b="127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3392" cy="2966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294F6" w14:textId="77777777" w:rsidR="00CA5E59" w:rsidRDefault="00CA5E59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01880F3B" w14:textId="6A9A9D24" w:rsidR="00C7113E" w:rsidRDefault="004D6D4E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</w:t>
            </w:r>
            <w:r w:rsidR="007D0769">
              <w:rPr>
                <w:rFonts w:ascii="Arial" w:hAnsi="Arial" w:cs="Arial"/>
                <w:sz w:val="20"/>
              </w:rPr>
              <w:t xml:space="preserve">.2 Verify tie-ins around the </w:t>
            </w:r>
            <w:r w:rsidR="006C4175">
              <w:rPr>
                <w:rFonts w:ascii="Arial" w:hAnsi="Arial" w:cs="Arial"/>
                <w:sz w:val="20"/>
              </w:rPr>
              <w:t xml:space="preserve">HUC </w:t>
            </w:r>
            <w:r w:rsidR="007D0769">
              <w:rPr>
                <w:rFonts w:ascii="Arial" w:hAnsi="Arial" w:cs="Arial"/>
                <w:sz w:val="20"/>
              </w:rPr>
              <w:t>perimeter</w:t>
            </w:r>
            <w:r w:rsidR="006C4175">
              <w:rPr>
                <w:rFonts w:ascii="Arial" w:hAnsi="Arial" w:cs="Arial"/>
                <w:sz w:val="20"/>
              </w:rPr>
              <w:t>, as necessary, particularly with Cibolo and Lower SA.</w:t>
            </w:r>
          </w:p>
          <w:p w14:paraId="5C3823D9" w14:textId="597A8A81" w:rsidR="004B449D" w:rsidRDefault="004B449D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46A843C" w14:textId="0C8B6F43" w:rsidR="004B449D" w:rsidRPr="00486827" w:rsidRDefault="004B449D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6025DF" w:rsidRPr="0072199E" w14:paraId="059E5C40" w14:textId="77777777" w:rsidTr="003D1027">
        <w:tc>
          <w:tcPr>
            <w:tcW w:w="1484" w:type="dxa"/>
          </w:tcPr>
          <w:p w14:paraId="3CA5BDD1" w14:textId="3C95E310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4. </w:t>
            </w:r>
            <w:r w:rsidR="0072199E" w:rsidRPr="0072199E">
              <w:rPr>
                <w:rFonts w:ascii="Arial" w:hAnsi="Arial" w:cs="Arial"/>
                <w:sz w:val="20"/>
              </w:rPr>
              <w:t xml:space="preserve">Stream </w:t>
            </w:r>
            <w:r>
              <w:rPr>
                <w:rFonts w:ascii="Arial" w:hAnsi="Arial" w:cs="Arial"/>
                <w:sz w:val="20"/>
              </w:rPr>
              <w:t>continuity</w:t>
            </w:r>
          </w:p>
        </w:tc>
        <w:tc>
          <w:tcPr>
            <w:tcW w:w="9046" w:type="dxa"/>
          </w:tcPr>
          <w:p w14:paraId="1CC76A68" w14:textId="55CD2393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4.1</w:t>
            </w:r>
            <w:r w:rsidR="004B449D">
              <w:rPr>
                <w:rFonts w:ascii="Arial" w:hAnsi="Arial" w:cs="Arial"/>
                <w:sz w:val="20"/>
              </w:rPr>
              <w:t xml:space="preserve"> </w:t>
            </w:r>
            <w:r w:rsidR="006C4175">
              <w:rPr>
                <w:rFonts w:ascii="Arial" w:hAnsi="Arial" w:cs="Arial"/>
                <w:sz w:val="20"/>
              </w:rPr>
              <w:t>See item 1.3 (mapping near dams).</w:t>
            </w:r>
          </w:p>
          <w:p w14:paraId="73731B58" w14:textId="4D206F7F" w:rsidR="00BF4C08" w:rsidRDefault="00BF4C08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19905708" w14:textId="6FEC5FB6" w:rsidR="00541181" w:rsidRDefault="000A510E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4.2 </w:t>
            </w:r>
            <w:r w:rsidR="006C4175">
              <w:rPr>
                <w:rFonts w:ascii="Arial" w:hAnsi="Arial" w:cs="Arial"/>
                <w:sz w:val="20"/>
              </w:rPr>
              <w:t xml:space="preserve">BLE mapping </w:t>
            </w:r>
            <w:r w:rsidR="00912541">
              <w:rPr>
                <w:rFonts w:ascii="Arial" w:hAnsi="Arial" w:cs="Arial"/>
                <w:sz w:val="20"/>
              </w:rPr>
              <w:t>continuity looks good. I did not identify consistent discontinuity issues.</w:t>
            </w:r>
            <w:r w:rsidR="006C4175">
              <w:rPr>
                <w:rFonts w:ascii="Arial" w:hAnsi="Arial" w:cs="Arial"/>
                <w:sz w:val="20"/>
              </w:rPr>
              <w:t xml:space="preserve"> </w:t>
            </w:r>
          </w:p>
          <w:p w14:paraId="7C12EE7E" w14:textId="7D544E62" w:rsidR="000A510E" w:rsidRDefault="000A510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D6FD07F" w14:textId="2949D5F9" w:rsidR="00BF4C08" w:rsidRPr="0072199E" w:rsidRDefault="00BF4C08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6025DF" w:rsidRPr="0072199E" w14:paraId="1A32A5A3" w14:textId="77777777" w:rsidTr="003D1027">
        <w:tc>
          <w:tcPr>
            <w:tcW w:w="1484" w:type="dxa"/>
          </w:tcPr>
          <w:p w14:paraId="2CD4DF44" w14:textId="41394348" w:rsidR="0072199E" w:rsidRPr="004D6D4E" w:rsidRDefault="00151847" w:rsidP="0072199E">
            <w:pPr>
              <w:jc w:val="left"/>
              <w:rPr>
                <w:rFonts w:ascii="Arial" w:hAnsi="Arial" w:cs="Arial"/>
                <w:sz w:val="20"/>
                <w:highlight w:val="yellow"/>
              </w:rPr>
            </w:pPr>
            <w:r w:rsidRPr="00C7676A">
              <w:rPr>
                <w:rFonts w:ascii="Arial" w:hAnsi="Arial" w:cs="Arial"/>
                <w:sz w:val="20"/>
              </w:rPr>
              <w:t xml:space="preserve">5. </w:t>
            </w:r>
            <w:r w:rsidR="0072199E" w:rsidRPr="00C7676A">
              <w:rPr>
                <w:rFonts w:ascii="Arial" w:hAnsi="Arial" w:cs="Arial"/>
                <w:sz w:val="20"/>
              </w:rPr>
              <w:t>Mapped depths</w:t>
            </w:r>
          </w:p>
        </w:tc>
        <w:tc>
          <w:tcPr>
            <w:tcW w:w="9046" w:type="dxa"/>
          </w:tcPr>
          <w:p w14:paraId="146B23D8" w14:textId="3FF0F86A" w:rsidR="00D60563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7676A">
              <w:rPr>
                <w:rFonts w:ascii="Arial" w:hAnsi="Arial" w:cs="Arial"/>
                <w:sz w:val="20"/>
              </w:rPr>
              <w:t>5.1</w:t>
            </w:r>
            <w:r w:rsidR="00BF4C08" w:rsidRPr="00C7676A">
              <w:rPr>
                <w:rFonts w:ascii="Arial" w:hAnsi="Arial" w:cs="Arial"/>
                <w:sz w:val="20"/>
              </w:rPr>
              <w:t xml:space="preserve"> </w:t>
            </w:r>
            <w:r w:rsidR="00D60563">
              <w:rPr>
                <w:rFonts w:ascii="Arial" w:hAnsi="Arial" w:cs="Arial"/>
                <w:sz w:val="20"/>
              </w:rPr>
              <w:t>Mapping adds significant flooding areas, where the 100-depth grid does not show any flooding at all.</w:t>
            </w:r>
            <w:r w:rsidR="00BE5B43">
              <w:rPr>
                <w:rFonts w:ascii="Arial" w:hAnsi="Arial" w:cs="Arial"/>
                <w:sz w:val="20"/>
              </w:rPr>
              <w:t xml:space="preserve"> </w:t>
            </w:r>
            <w:r w:rsidR="00D60563">
              <w:rPr>
                <w:rFonts w:ascii="Arial" w:hAnsi="Arial" w:cs="Arial"/>
                <w:sz w:val="20"/>
              </w:rPr>
              <w:t>Figure below shows BLE mapping as hatched area.</w:t>
            </w:r>
          </w:p>
          <w:p w14:paraId="17027FFA" w14:textId="7A8B8829" w:rsidR="00984250" w:rsidRPr="00C7676A" w:rsidRDefault="00D60563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D60563">
              <w:rPr>
                <w:rFonts w:ascii="Arial" w:hAnsi="Arial" w:cs="Arial"/>
                <w:noProof/>
                <w:sz w:val="20"/>
              </w:rPr>
              <w:lastRenderedPageBreak/>
              <w:drawing>
                <wp:inline distT="0" distB="0" distL="0" distR="0" wp14:anchorId="367FE48A" wp14:editId="7223C75C">
                  <wp:extent cx="4181475" cy="2945796"/>
                  <wp:effectExtent l="0" t="0" r="0" b="698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4455" cy="2969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D60563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55F38FB8" wp14:editId="7BDD6560">
                  <wp:extent cx="771633" cy="523948"/>
                  <wp:effectExtent l="0" t="0" r="9525" b="952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33" cy="523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40BBA0" w14:textId="09C64D33" w:rsidR="00C7676A" w:rsidRDefault="00C7676A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178C4C36" w14:textId="6EA110E7" w:rsidR="00D60563" w:rsidRDefault="00D60563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D60563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76A71BE4" wp14:editId="749165DE">
                  <wp:extent cx="4057650" cy="3281234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7288" cy="3289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126F3F" w14:textId="6BFA75D8" w:rsidR="00D60563" w:rsidRDefault="00D60563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0287C7B3" w14:textId="40DA4DCA" w:rsidR="00BE5B43" w:rsidRDefault="00BE5B43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The figure below, for example, should only delineate flooding within the streets. It is unclear why we mapped the parcels (hatched areas show BLE mapping).</w:t>
            </w:r>
          </w:p>
          <w:p w14:paraId="1E9C460A" w14:textId="16BE2E07" w:rsidR="00D60563" w:rsidRDefault="00D60563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18F8895A" w14:textId="298C64EE" w:rsidR="00BE5B43" w:rsidRPr="00C7676A" w:rsidRDefault="00BE5B43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BE5B43">
              <w:rPr>
                <w:rFonts w:ascii="Arial" w:hAnsi="Arial" w:cs="Arial"/>
                <w:noProof/>
                <w:sz w:val="20"/>
              </w:rPr>
              <w:lastRenderedPageBreak/>
              <w:drawing>
                <wp:inline distT="0" distB="0" distL="0" distR="0" wp14:anchorId="0A08CD5D" wp14:editId="499AAE9C">
                  <wp:extent cx="4572000" cy="3759689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2962" cy="3768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22DA56" w14:textId="11E7184D" w:rsidR="00984250" w:rsidRDefault="00984250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699BF43F" w14:textId="6594A823" w:rsidR="00BE5B43" w:rsidRDefault="00BE5B43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BE5B43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E7D8453" wp14:editId="6E865669">
                  <wp:extent cx="4572000" cy="3720612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4567" cy="3730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032F18" w14:textId="7C32602A" w:rsidR="009B6D5A" w:rsidRDefault="009B6D5A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3A03128" w14:textId="771EABF3" w:rsidR="009B6D5A" w:rsidRDefault="009B6D5A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This issue applies to “street” areas and streams features.</w:t>
            </w:r>
          </w:p>
          <w:p w14:paraId="16CCF136" w14:textId="4F4E6847" w:rsidR="009B6D5A" w:rsidRDefault="009B6D5A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0E034676" w14:textId="4AF74E28" w:rsidR="009B6D5A" w:rsidRDefault="009B6D5A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9B6D5A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C7E3318" wp14:editId="423B8B45">
                  <wp:extent cx="4972050" cy="4788254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4301" cy="4800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E48CEA" w14:textId="77777777" w:rsidR="00BE5B43" w:rsidRPr="00C7676A" w:rsidRDefault="00BE5B43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1A957552" w14:textId="4D635DC0" w:rsidR="00C7676A" w:rsidRDefault="00C7676A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D8609CB" w14:textId="72C28ED2" w:rsidR="00C7676A" w:rsidRPr="00C7676A" w:rsidRDefault="00C7676A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6025DF" w:rsidRPr="0072199E" w14:paraId="7FC00F4E" w14:textId="77777777" w:rsidTr="003D1027">
        <w:tc>
          <w:tcPr>
            <w:tcW w:w="1484" w:type="dxa"/>
          </w:tcPr>
          <w:p w14:paraId="51D463E9" w14:textId="35C217E9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>6. Mapping consistent with frequency</w:t>
            </w:r>
          </w:p>
        </w:tc>
        <w:tc>
          <w:tcPr>
            <w:tcW w:w="9046" w:type="dxa"/>
          </w:tcPr>
          <w:p w14:paraId="689F6C8E" w14:textId="6B27777B" w:rsidR="0072199E" w:rsidRPr="00C7676A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7676A">
              <w:rPr>
                <w:rFonts w:ascii="Arial" w:hAnsi="Arial" w:cs="Arial"/>
                <w:sz w:val="20"/>
              </w:rPr>
              <w:t>6.1</w:t>
            </w:r>
            <w:r w:rsidR="00BE5B43">
              <w:rPr>
                <w:rFonts w:ascii="Arial" w:hAnsi="Arial" w:cs="Arial"/>
                <w:sz w:val="20"/>
              </w:rPr>
              <w:t xml:space="preserve"> </w:t>
            </w:r>
            <w:r w:rsidR="005F6572">
              <w:rPr>
                <w:rFonts w:ascii="Arial" w:hAnsi="Arial" w:cs="Arial"/>
                <w:sz w:val="20"/>
              </w:rPr>
              <w:t>To verify frequency mapping consistency, we need to address item 5.1 first.</w:t>
            </w:r>
          </w:p>
          <w:p w14:paraId="1A51AD22" w14:textId="4E9C5532" w:rsidR="00BB7FB2" w:rsidRPr="00C7676A" w:rsidRDefault="00BB7FB2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5C09D1BC" w14:textId="700771A3" w:rsidR="00541181" w:rsidRPr="00C7676A" w:rsidRDefault="00541181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6025DF" w:rsidRPr="0072199E" w14:paraId="33EB102F" w14:textId="77777777" w:rsidTr="003D1027">
        <w:tc>
          <w:tcPr>
            <w:tcW w:w="1484" w:type="dxa"/>
          </w:tcPr>
          <w:p w14:paraId="678BCE76" w14:textId="0D4A8210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 Miscellaneous</w:t>
            </w:r>
          </w:p>
        </w:tc>
        <w:tc>
          <w:tcPr>
            <w:tcW w:w="9046" w:type="dxa"/>
          </w:tcPr>
          <w:p w14:paraId="797C62E6" w14:textId="76281BF2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7.1</w:t>
            </w:r>
            <w:r w:rsidR="00541181">
              <w:rPr>
                <w:rFonts w:ascii="Arial" w:hAnsi="Arial" w:cs="Arial"/>
                <w:sz w:val="20"/>
              </w:rPr>
              <w:t xml:space="preserve"> </w:t>
            </w:r>
          </w:p>
        </w:tc>
      </w:tr>
    </w:tbl>
    <w:p w14:paraId="4EFAA5AB" w14:textId="17FC7F53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4CAD4714" w14:textId="625DA8CF" w:rsidR="000B6E34" w:rsidRDefault="000B6E34">
      <w:pPr>
        <w:rPr>
          <w:rFonts w:ascii="Arial" w:hAnsi="Arial" w:cs="Arial"/>
          <w:sz w:val="22"/>
          <w:szCs w:val="22"/>
        </w:rPr>
      </w:pPr>
    </w:p>
    <w:p w14:paraId="58082857" w14:textId="79069A5F" w:rsidR="0025313E" w:rsidRPr="0072199E" w:rsidRDefault="0025313E">
      <w:pPr>
        <w:rPr>
          <w:rFonts w:ascii="Arial" w:hAnsi="Arial" w:cs="Arial"/>
          <w:sz w:val="22"/>
          <w:szCs w:val="22"/>
        </w:rPr>
      </w:pPr>
    </w:p>
    <w:p w14:paraId="3C629A97" w14:textId="2DD15E29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5416136D" w14:textId="77777777" w:rsidR="00E50997" w:rsidRPr="0072199E" w:rsidRDefault="00E50997">
      <w:pPr>
        <w:rPr>
          <w:rFonts w:ascii="Arial" w:hAnsi="Arial" w:cs="Arial"/>
          <w:sz w:val="22"/>
          <w:szCs w:val="22"/>
        </w:rPr>
      </w:pPr>
    </w:p>
    <w:sectPr w:rsidR="00E50997" w:rsidRPr="0072199E" w:rsidSect="008F06AE">
      <w:headerReference w:type="default" r:id="rId18"/>
      <w:headerReference w:type="first" r:id="rId19"/>
      <w:footerReference w:type="first" r:id="rId20"/>
      <w:type w:val="continuous"/>
      <w:pgSz w:w="12240" w:h="15840" w:code="1"/>
      <w:pgMar w:top="2160" w:right="1440" w:bottom="1440" w:left="1440" w:header="990" w:footer="471" w:gutter="0"/>
      <w:cols w:space="720"/>
      <w:noEndnote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135A71" w14:textId="77777777" w:rsidR="005B7E30" w:rsidRDefault="005B7E30">
      <w:r>
        <w:separator/>
      </w:r>
    </w:p>
  </w:endnote>
  <w:endnote w:type="continuationSeparator" w:id="0">
    <w:p w14:paraId="20572E5F" w14:textId="77777777" w:rsidR="005B7E30" w:rsidRDefault="005B7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otham-Book">
    <w:altName w:val="Calibri"/>
    <w:charset w:val="00"/>
    <w:family w:val="auto"/>
    <w:pitch w:val="variable"/>
    <w:sig w:usb0="8000002F" w:usb1="00000048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ED650F" w14:textId="77777777" w:rsidR="008F06AE" w:rsidRPr="00FD52CB" w:rsidRDefault="0069630A" w:rsidP="008F06AE">
    <w:pPr>
      <w:pStyle w:val="Footer"/>
      <w:ind w:hanging="360"/>
      <w:rPr>
        <w:szCs w:val="14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59776" behindDoc="0" locked="0" layoutInCell="1" allowOverlap="1" wp14:anchorId="54D791CB" wp14:editId="6D00E9E4">
              <wp:simplePos x="0" y="0"/>
              <wp:positionH relativeFrom="column">
                <wp:posOffset>-342900</wp:posOffset>
              </wp:positionH>
              <wp:positionV relativeFrom="paragraph">
                <wp:posOffset>-287655</wp:posOffset>
              </wp:positionV>
              <wp:extent cx="5149850" cy="540385"/>
              <wp:effectExtent l="0" t="0" r="0" b="0"/>
              <wp:wrapSquare wrapText="bothSides"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49850" cy="5403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F26F79" w14:textId="77777777" w:rsidR="0069630A" w:rsidRPr="002C55A5" w:rsidRDefault="0069630A" w:rsidP="0069630A">
                          <w:pPr>
                            <w:rPr>
                              <w:sz w:val="11"/>
                              <w:szCs w:val="11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4D791C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-27pt;margin-top:-22.65pt;width:405.5pt;height:42.55pt;z-index:251659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" stroked="f">
              <v:textbox style="mso-fit-shape-to-text:t">
                <w:txbxContent>
                  <w:p w14:paraId="5BF26F79" w14:textId="77777777" w:rsidR="0069630A" w:rsidRPr="002C55A5" w:rsidRDefault="0069630A" w:rsidP="0069630A">
                    <w:pPr>
                      <w:rPr>
                        <w:sz w:val="11"/>
                        <w:szCs w:val="11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C514AE" w14:textId="77777777" w:rsidR="005B7E30" w:rsidRDefault="005B7E30">
      <w:r>
        <w:separator/>
      </w:r>
    </w:p>
  </w:footnote>
  <w:footnote w:type="continuationSeparator" w:id="0">
    <w:p w14:paraId="033264CC" w14:textId="77777777" w:rsidR="005B7E30" w:rsidRDefault="005B7E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2AE7D1" w14:textId="4C727592" w:rsidR="008F06AE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5E153309" wp14:editId="6E53C7AB">
          <wp:extent cx="1783496" cy="416530"/>
          <wp:effectExtent l="0" t="0" r="0" b="3175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60FFB">
      <w:rPr>
        <w:noProof/>
        <w:sz w:val="14"/>
        <w:szCs w:val="14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4AD6BF7E" wp14:editId="4909A400">
              <wp:simplePos x="0" y="0"/>
              <wp:positionH relativeFrom="column">
                <wp:posOffset>4074160</wp:posOffset>
              </wp:positionH>
              <wp:positionV relativeFrom="paragraph">
                <wp:posOffset>-8890</wp:posOffset>
              </wp:positionV>
              <wp:extent cx="2187575" cy="490220"/>
              <wp:effectExtent l="0" t="0" r="0" b="0"/>
              <wp:wrapNone/>
              <wp:docPr id="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7575" cy="4902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19C52A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</w:rPr>
                            <w:t>Replace this with recipient's name</w:t>
                          </w:r>
                        </w:p>
                        <w:p w14:paraId="12ADC77C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Replace this with recipient's company name</w:t>
                          </w:r>
                        </w:p>
                        <w:p w14:paraId="2FCA90C0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Replace with today’s date</w:t>
                          </w:r>
                        </w:p>
                        <w:p w14:paraId="091FF224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Page </w: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begin"/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instrText xml:space="preserve"> PAGE </w:instrTex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separate"/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noProof/>
                              <w:sz w:val="14"/>
                              <w:szCs w:val="14"/>
                            </w:rPr>
                            <w:t>2</w: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end"/>
                          </w:r>
                        </w:p>
                        <w:p w14:paraId="29990122" w14:textId="77777777" w:rsidR="008F06AE" w:rsidRDefault="00DB0AA7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D6BF7E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26" type="#_x0000_t202" style="position:absolute;left:0;text-align:left;margin-left:320.8pt;margin-top:-.7pt;width:172.25pt;height:38.6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" stroked="f">
              <v:textbox>
                <w:txbxContent>
                  <w:p w14:paraId="5719C52A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</w:rPr>
                      <w:t>Replace this with recipient's name</w:t>
                    </w:r>
                  </w:p>
                  <w:p w14:paraId="12ADC77C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>Replace this with recipient's company name</w:t>
                    </w:r>
                  </w:p>
                  <w:p w14:paraId="2FCA90C0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>Replace with today’s date</w:t>
                    </w:r>
                  </w:p>
                  <w:p w14:paraId="091FF224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Page </w: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begin"/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instrText xml:space="preserve"> PAGE </w:instrTex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separate"/>
                    </w:r>
                    <w:r w:rsidRPr="00987AC5">
                      <w:rPr>
                        <w:rStyle w:val="PageNumber"/>
                        <w:rFonts w:ascii="Arial" w:hAnsi="Arial" w:cs="Arial"/>
                        <w:noProof/>
                        <w:sz w:val="14"/>
                        <w:szCs w:val="14"/>
                      </w:rPr>
                      <w:t>2</w: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end"/>
                    </w:r>
                  </w:p>
                  <w:p w14:paraId="29990122" w14:textId="77777777" w:rsidR="008F06AE" w:rsidRDefault="00DB0AA7"/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C22082" w14:textId="1A1BCEA0" w:rsidR="008F06AE" w:rsidRPr="00FD52CB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37D28A92" wp14:editId="5B0D3255">
          <wp:extent cx="1783496" cy="416530"/>
          <wp:effectExtent l="0" t="0" r="0" b="317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CEE7ED2"/>
    <w:multiLevelType w:val="hybridMultilevel"/>
    <w:tmpl w:val="3CD050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6625">
      <o:colormru v:ext="edit" colors="#3a569b,#10147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zMyNzYyMDAwMzI2NTFQ0lEKTi0uzszPAykwrAUARYLQAiwAAAA="/>
  </w:docVars>
  <w:rsids>
    <w:rsidRoot w:val="00D60FFB"/>
    <w:rsid w:val="000A510E"/>
    <w:rsid w:val="000B6E34"/>
    <w:rsid w:val="00147EAF"/>
    <w:rsid w:val="00151847"/>
    <w:rsid w:val="001B4EF9"/>
    <w:rsid w:val="001C0190"/>
    <w:rsid w:val="0025313E"/>
    <w:rsid w:val="00277916"/>
    <w:rsid w:val="002C3C96"/>
    <w:rsid w:val="003C5C1D"/>
    <w:rsid w:val="003D1027"/>
    <w:rsid w:val="004525EE"/>
    <w:rsid w:val="00486827"/>
    <w:rsid w:val="004A3820"/>
    <w:rsid w:val="004B449D"/>
    <w:rsid w:val="004D6D4E"/>
    <w:rsid w:val="004F360A"/>
    <w:rsid w:val="00526223"/>
    <w:rsid w:val="00541181"/>
    <w:rsid w:val="00545459"/>
    <w:rsid w:val="005B7E30"/>
    <w:rsid w:val="005D3859"/>
    <w:rsid w:val="005E1898"/>
    <w:rsid w:val="005F6572"/>
    <w:rsid w:val="006025DF"/>
    <w:rsid w:val="0062272D"/>
    <w:rsid w:val="00646E55"/>
    <w:rsid w:val="00661746"/>
    <w:rsid w:val="0069630A"/>
    <w:rsid w:val="006C4175"/>
    <w:rsid w:val="0072199E"/>
    <w:rsid w:val="0073470E"/>
    <w:rsid w:val="007649F8"/>
    <w:rsid w:val="00772742"/>
    <w:rsid w:val="00777EB3"/>
    <w:rsid w:val="00785AFB"/>
    <w:rsid w:val="007B109E"/>
    <w:rsid w:val="007D0769"/>
    <w:rsid w:val="00802E27"/>
    <w:rsid w:val="008371FE"/>
    <w:rsid w:val="00912541"/>
    <w:rsid w:val="0096473A"/>
    <w:rsid w:val="00984250"/>
    <w:rsid w:val="00987AC5"/>
    <w:rsid w:val="009B266F"/>
    <w:rsid w:val="009B6D5A"/>
    <w:rsid w:val="00AA67FD"/>
    <w:rsid w:val="00AB36AE"/>
    <w:rsid w:val="00AC2967"/>
    <w:rsid w:val="00AD3FA3"/>
    <w:rsid w:val="00B10287"/>
    <w:rsid w:val="00BB7FB2"/>
    <w:rsid w:val="00BE5B43"/>
    <w:rsid w:val="00BF4C08"/>
    <w:rsid w:val="00C44252"/>
    <w:rsid w:val="00C7113E"/>
    <w:rsid w:val="00C7676A"/>
    <w:rsid w:val="00C93161"/>
    <w:rsid w:val="00CA5E59"/>
    <w:rsid w:val="00D21C4C"/>
    <w:rsid w:val="00D60563"/>
    <w:rsid w:val="00D60FFB"/>
    <w:rsid w:val="00DA15C0"/>
    <w:rsid w:val="00DD4FAE"/>
    <w:rsid w:val="00DE702E"/>
    <w:rsid w:val="00E40DCB"/>
    <w:rsid w:val="00E50997"/>
    <w:rsid w:val="00E563B1"/>
    <w:rsid w:val="00E71B94"/>
    <w:rsid w:val="00EE5E3A"/>
    <w:rsid w:val="00F11486"/>
    <w:rsid w:val="00FB341C"/>
    <w:rsid w:val="00FB6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625">
      <o:colormru v:ext="edit" colors="#3a569b,#10147e"/>
    </o:shapedefaults>
    <o:shapelayout v:ext="edit">
      <o:idmap v:ext="edit" data="1"/>
    </o:shapelayout>
  </w:shapeDefaults>
  <w:decimalSymbol w:val="."/>
  <w:listSeparator w:val=","/>
  <w14:docId w14:val="58897FD5"/>
  <w15:chartTrackingRefBased/>
  <w15:docId w15:val="{96D9783E-E104-4AD5-8D0C-C4A47C2B20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">
    <w:name w:val="List"/>
    <w:basedOn w:val="Normal"/>
    <w:pPr>
      <w:widowControl w:val="0"/>
      <w:spacing w:after="240"/>
      <w:ind w:left="720" w:hanging="720"/>
    </w:pPr>
    <w:rPr>
      <w:rFonts w:ascii="Times Roman" w:hAnsi="Times Roman"/>
    </w:rPr>
  </w:style>
  <w:style w:type="paragraph" w:styleId="Footer">
    <w:name w:val="footer"/>
    <w:basedOn w:val="Normal"/>
    <w:pPr>
      <w:widowControl w:val="0"/>
      <w:tabs>
        <w:tab w:val="center" w:pos="4320"/>
        <w:tab w:val="right" w:pos="9360"/>
      </w:tabs>
    </w:pPr>
    <w:rPr>
      <w:rFonts w:ascii="Times Roman" w:hAnsi="Times Roman"/>
    </w:rPr>
  </w:style>
  <w:style w:type="paragraph" w:styleId="EnvelopeAddress">
    <w:name w:val="envelope address"/>
    <w:basedOn w:val="EnvelopeReturn"/>
    <w:pPr>
      <w:keepLines/>
      <w:framePr w:w="7920" w:h="1980" w:hRule="exact" w:hSpace="180" w:wrap="auto" w:hAnchor="page" w:xAlign="center" w:yAlign="bottom"/>
      <w:ind w:left="6480"/>
      <w:jc w:val="left"/>
    </w:pPr>
    <w:rPr>
      <w:rFonts w:ascii="Arial Rounded MT Bold" w:hAnsi="Arial Rounded MT Bold"/>
      <w:b/>
      <w:sz w:val="28"/>
    </w:rPr>
  </w:style>
  <w:style w:type="paragraph" w:styleId="EnvelopeReturn">
    <w:name w:val="envelope return"/>
    <w:basedOn w:val="Normal"/>
    <w:rPr>
      <w:sz w:val="20"/>
    </w:rPr>
  </w:style>
  <w:style w:type="paragraph" w:customStyle="1" w:styleId="JITEM3">
    <w:name w:val="JITEM3"/>
    <w:basedOn w:val="JITEM2"/>
    <w:pPr>
      <w:tabs>
        <w:tab w:val="left" w:pos="2160"/>
      </w:tabs>
    </w:pPr>
  </w:style>
  <w:style w:type="paragraph" w:customStyle="1" w:styleId="JITEM2">
    <w:name w:val="JITEM2"/>
    <w:basedOn w:val="Normal"/>
    <w:pPr>
      <w:tabs>
        <w:tab w:val="left" w:pos="-720"/>
        <w:tab w:val="left" w:pos="0"/>
        <w:tab w:val="left" w:pos="720"/>
        <w:tab w:val="left" w:pos="1440"/>
      </w:tabs>
      <w:suppressAutoHyphens/>
      <w:spacing w:after="120"/>
      <w:ind w:left="2880" w:hanging="720"/>
    </w:pPr>
    <w:rPr>
      <w:rFonts w:ascii="Century Schoolbook" w:hAnsi="Century Schoolbook"/>
      <w:spacing w:val="-2"/>
      <w:sz w:val="20"/>
    </w:rPr>
  </w:style>
  <w:style w:type="paragraph" w:customStyle="1" w:styleId="JHEAD1">
    <w:name w:val="JHEAD1"/>
    <w:basedOn w:val="Normal"/>
    <w:pPr>
      <w:spacing w:after="120"/>
      <w:ind w:left="720" w:hanging="720"/>
    </w:pPr>
    <w:rPr>
      <w:rFonts w:ascii="Century Schoolbook" w:hAnsi="Century Schoolbook"/>
      <w:b/>
      <w:sz w:val="20"/>
      <w:u w:val="single"/>
    </w:rPr>
  </w:style>
  <w:style w:type="paragraph" w:customStyle="1" w:styleId="JHEAD2">
    <w:name w:val="JHEAD2"/>
    <w:basedOn w:val="Normal"/>
    <w:pPr>
      <w:spacing w:after="240"/>
      <w:ind w:left="1440" w:hanging="720"/>
    </w:pPr>
    <w:rPr>
      <w:rFonts w:ascii="Century Schoolbook" w:hAnsi="Century Schoolbook"/>
      <w:sz w:val="20"/>
    </w:rPr>
  </w:style>
  <w:style w:type="paragraph" w:styleId="ListBullet">
    <w:name w:val="List Bullet"/>
    <w:basedOn w:val="Normal"/>
    <w:pPr>
      <w:ind w:left="720" w:hanging="720"/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BodyText">
    <w:name w:val="Body Text"/>
    <w:basedOn w:val="Normal"/>
    <w:link w:val="BodyTextChar"/>
    <w:uiPriority w:val="1"/>
    <w:qFormat/>
    <w:rsid w:val="00C44252"/>
    <w:pPr>
      <w:widowControl w:val="0"/>
      <w:overflowPunct/>
      <w:autoSpaceDE/>
      <w:autoSpaceDN/>
      <w:adjustRightInd/>
      <w:ind w:left="119"/>
      <w:jc w:val="left"/>
      <w:textAlignment w:val="auto"/>
    </w:pPr>
    <w:rPr>
      <w:rFonts w:ascii="Gotham-Book" w:eastAsia="Gotham-Book" w:hAnsi="Gotham-Book" w:cstheme="minorBidi"/>
      <w:sz w:val="11"/>
      <w:szCs w:val="11"/>
    </w:rPr>
  </w:style>
  <w:style w:type="character" w:customStyle="1" w:styleId="BodyTextChar">
    <w:name w:val="Body Text Char"/>
    <w:basedOn w:val="DefaultParagraphFont"/>
    <w:link w:val="BodyText"/>
    <w:uiPriority w:val="1"/>
    <w:rsid w:val="00C44252"/>
    <w:rPr>
      <w:rFonts w:ascii="Gotham-Book" w:eastAsia="Gotham-Book" w:hAnsi="Gotham-Book" w:cstheme="minorBidi"/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69630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9630A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563B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63B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526223"/>
    <w:pPr>
      <w:ind w:left="720"/>
      <w:contextualSpacing/>
    </w:pPr>
  </w:style>
  <w:style w:type="table" w:styleId="TableGrid">
    <w:name w:val="Table Grid"/>
    <w:basedOn w:val="TableNormal"/>
    <w:uiPriority w:val="39"/>
    <w:rsid w:val="000B6E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77EB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77EB3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77EB3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77EB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77EB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CE2DEA-9CB5-42ED-8A9E-F8D419AF0A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10210</TotalTime>
  <Pages>6</Pages>
  <Words>411</Words>
  <Characters>2395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June 21, 1996</vt:lpstr>
    </vt:vector>
  </TitlesOfParts>
  <Company>HALFF ASSOCIATES, INC.</Company>
  <LinksUpToDate>false</LinksUpToDate>
  <CharactersWithSpaces>2801</CharactersWithSpaces>
  <SharedDoc>false</SharedDoc>
  <HLinks>
    <vt:vector size="18" baseType="variant">
      <vt:variant>
        <vt:i4>2031704</vt:i4>
      </vt:variant>
      <vt:variant>
        <vt:i4>1778</vt:i4>
      </vt:variant>
      <vt:variant>
        <vt:i4>1026</vt:i4>
      </vt:variant>
      <vt:variant>
        <vt:i4>1</vt:i4>
      </vt:variant>
      <vt:variant>
        <vt:lpwstr>Halff_color</vt:lpwstr>
      </vt:variant>
      <vt:variant>
        <vt:lpwstr/>
      </vt:variant>
      <vt:variant>
        <vt:i4>5636155</vt:i4>
      </vt:variant>
      <vt:variant>
        <vt:i4>1781</vt:i4>
      </vt:variant>
      <vt:variant>
        <vt:i4>1025</vt:i4>
      </vt:variant>
      <vt:variant>
        <vt:i4>1</vt:i4>
      </vt:variant>
      <vt:variant>
        <vt:lpwstr>Halff_4C</vt:lpwstr>
      </vt:variant>
      <vt:variant>
        <vt:lpwstr/>
      </vt:variant>
      <vt:variant>
        <vt:i4>6815755</vt:i4>
      </vt:variant>
      <vt:variant>
        <vt:i4>1784</vt:i4>
      </vt:variant>
      <vt:variant>
        <vt:i4>1028</vt:i4>
      </vt:variant>
      <vt:variant>
        <vt:i4>1</vt:i4>
      </vt:variant>
      <vt:variant>
        <vt:lpwstr>richardsonaddress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June 21, 1996</dc:title>
  <dc:subject/>
  <dc:creator>Hausenfluke, Jodi</dc:creator>
  <cp:keywords/>
  <dc:description/>
  <cp:lastModifiedBy>Raper, Aaron</cp:lastModifiedBy>
  <cp:revision>25</cp:revision>
  <cp:lastPrinted>2005-01-07T16:13:00Z</cp:lastPrinted>
  <dcterms:created xsi:type="dcterms:W3CDTF">2021-06-30T13:53:00Z</dcterms:created>
  <dcterms:modified xsi:type="dcterms:W3CDTF">2021-09-19T22:47:00Z</dcterms:modified>
</cp:coreProperties>
</file>